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042C" w:rsidRDefault="00CD1639" w:rsidP="0036042C">
      <w:pPr>
        <w:rPr>
          <w:b/>
          <w:sz w:val="32"/>
          <w:szCs w:val="32"/>
          <w:u w:val="single"/>
        </w:rPr>
      </w:pPr>
      <w:r>
        <w:rPr>
          <w:b/>
          <w:sz w:val="32"/>
          <w:szCs w:val="32"/>
          <w:u w:val="single"/>
        </w:rPr>
        <w:t>Greene</w:t>
      </w:r>
      <w:r w:rsidR="0036042C">
        <w:rPr>
          <w:b/>
          <w:sz w:val="32"/>
          <w:szCs w:val="32"/>
          <w:u w:val="single"/>
        </w:rPr>
        <w:t xml:space="preserve"> County Hydrologic Analysis</w:t>
      </w:r>
    </w:p>
    <w:p w:rsidR="0036042C" w:rsidRDefault="0036042C" w:rsidP="0036042C">
      <w:pPr>
        <w:rPr>
          <w:sz w:val="22"/>
          <w:szCs w:val="22"/>
          <w:u w:val="single"/>
        </w:rPr>
      </w:pPr>
    </w:p>
    <w:p w:rsidR="0036042C" w:rsidRDefault="0036042C" w:rsidP="0036042C">
      <w:pPr>
        <w:rPr>
          <w:b/>
          <w:sz w:val="28"/>
          <w:szCs w:val="28"/>
        </w:rPr>
      </w:pPr>
      <w:r>
        <w:rPr>
          <w:b/>
          <w:sz w:val="28"/>
          <w:szCs w:val="28"/>
        </w:rPr>
        <w:t>Detailed and Limited Detail Study</w:t>
      </w:r>
    </w:p>
    <w:p w:rsidR="00140520" w:rsidRDefault="00F13433"/>
    <w:p w:rsidR="0036042C" w:rsidRDefault="0036042C" w:rsidP="0036042C">
      <w:r w:rsidRPr="00F15B9C">
        <w:t xml:space="preserve">The hydrologic analyses are based on the methods described in the US Geological Survey (USGS) Water Resources Investigations Report 01-4207, “Estimating the Magnitude and Frequency of Floods in Rural Basins of </w:t>
      </w:r>
      <w:smartTag w:uri="urn:schemas-microsoft-com:office:smarttags" w:element="place">
        <w:smartTag w:uri="urn:schemas-microsoft-com:office:smarttags" w:element="State">
          <w:r w:rsidRPr="00F15B9C">
            <w:t>North Carolina</w:t>
          </w:r>
        </w:smartTag>
      </w:smartTag>
      <w:r w:rsidRPr="00F15B9C">
        <w:t>.”</w:t>
      </w:r>
      <w:r w:rsidRPr="00F15B9C">
        <w:rPr>
          <w:vertAlign w:val="superscript"/>
        </w:rPr>
        <w:t>1</w:t>
      </w:r>
      <w:r>
        <w:t xml:space="preserve">  Flood discharges were estimated using regression equations developed by USGS from stream gages in various regions of the </w:t>
      </w:r>
      <w:smartTag w:uri="urn:schemas-microsoft-com:office:smarttags" w:element="place">
        <w:smartTag w:uri="urn:schemas-microsoft-com:office:smarttags" w:element="State">
          <w:r>
            <w:t>North Carolina</w:t>
          </w:r>
        </w:smartTag>
      </w:smartTag>
      <w:r>
        <w:t xml:space="preserve">. The hydrologic region for </w:t>
      </w:r>
      <w:r w:rsidR="00CD1639">
        <w:t>Greene</w:t>
      </w:r>
      <w:r>
        <w:t xml:space="preserve"> County is the </w:t>
      </w:r>
      <w:r w:rsidR="00C83A15">
        <w:t>Coastal Plains</w:t>
      </w:r>
      <w:r w:rsidR="006A766F">
        <w:t xml:space="preserve"> r</w:t>
      </w:r>
      <w:r>
        <w:t>egion of North Carolina.  The only variable in the equations is the drainage area of the basin in question. USGS Report 01-4207 also includes methods of adjustment of the regression equation discharges on streams with gages. The adjustments to streams with gages were applied based on these procedures. An adjustment factor was developed for application of the regression equations to certain un-</w:t>
      </w:r>
      <w:proofErr w:type="spellStart"/>
      <w:r>
        <w:t>gaged</w:t>
      </w:r>
      <w:proofErr w:type="spellEnd"/>
      <w:r>
        <w:t xml:space="preserve"> streams because the regression equations produce discharges less than the stream gage discharges in those areas.  </w:t>
      </w:r>
    </w:p>
    <w:p w:rsidR="0036042C" w:rsidRDefault="0036042C"/>
    <w:p w:rsidR="003D372F" w:rsidRDefault="003D372F" w:rsidP="003D372F">
      <w:r>
        <w:t xml:space="preserve">Delineation of drainage basins and drainage areas was based on digital elevation models (DEM) produced from light detection and ranging (LIDAR) data supplied by the NCFMP.   </w:t>
      </w:r>
    </w:p>
    <w:p w:rsidR="003D372F" w:rsidRDefault="003D372F" w:rsidP="003D372F"/>
    <w:p w:rsidR="003D372F" w:rsidRDefault="003D372F" w:rsidP="003D372F">
      <w:r>
        <w:t xml:space="preserve">The hydrologic analysis also includes a review and update of flood-flow frequency estimates for active stream gages within the basin to include the most current stream flow records available. The flood-flow frequency data was updated using methods described in USGS “Bulletin 17B guidelines for Determining Flood Flow Frequency.”  The updated information was utilized for adjustment of regression equation discharges.        </w:t>
      </w:r>
    </w:p>
    <w:p w:rsidR="003D372F" w:rsidRDefault="003D372F" w:rsidP="003D372F"/>
    <w:p w:rsidR="003D372F" w:rsidRDefault="003D372F" w:rsidP="003D372F">
      <w:r w:rsidRPr="00F15B9C">
        <w:t xml:space="preserve">Hydrologic analysis of urban areas was based on methods described in USGS Water Resources Investigations Report 96-4084, “Estimation of Flood-Frequency Characteristics of Small Urban Streams in </w:t>
      </w:r>
      <w:smartTag w:uri="urn:schemas-microsoft-com:office:smarttags" w:element="State">
        <w:smartTag w:uri="urn:schemas-microsoft-com:office:smarttags" w:element="place">
          <w:r w:rsidRPr="00F15B9C">
            <w:t>North Carolina</w:t>
          </w:r>
        </w:smartTag>
      </w:smartTag>
      <w:r w:rsidRPr="00F15B9C">
        <w:t>.”</w:t>
      </w:r>
      <w:r w:rsidRPr="00F15B9C">
        <w:rPr>
          <w:vertAlign w:val="superscript"/>
        </w:rPr>
        <w:t>2</w:t>
      </w:r>
      <w:r>
        <w:t xml:space="preserve"> Flood discharges were estimated using regression equations developed by USGS from rainfall runoff models of urban watersheds throughout North Carolina. The variables in the equations include the drainage area and the percent of impervious area within the basin in question. Basins were considered urban when the impervious area exceeded 10 percent.</w:t>
      </w:r>
      <w:r w:rsidR="00B708E0">
        <w:t xml:space="preserve">  The urban regression equations were also used to calculate future conditions based on 10%, 20%, and 35% impervious cover.</w:t>
      </w:r>
      <w:r>
        <w:t xml:space="preserve">     </w:t>
      </w:r>
    </w:p>
    <w:p w:rsidR="003D372F" w:rsidRDefault="003D372F"/>
    <w:p w:rsidR="006A766F" w:rsidRDefault="00CD1639" w:rsidP="006A766F">
      <w:pPr>
        <w:jc w:val="both"/>
        <w:rPr>
          <w:b/>
          <w:sz w:val="32"/>
          <w:szCs w:val="32"/>
          <w:u w:val="single"/>
        </w:rPr>
      </w:pPr>
      <w:r>
        <w:rPr>
          <w:b/>
          <w:sz w:val="32"/>
          <w:szCs w:val="32"/>
          <w:u w:val="single"/>
        </w:rPr>
        <w:t>Greene</w:t>
      </w:r>
      <w:r w:rsidR="006A766F">
        <w:rPr>
          <w:b/>
          <w:sz w:val="32"/>
          <w:szCs w:val="32"/>
          <w:u w:val="single"/>
        </w:rPr>
        <w:t xml:space="preserve"> County Hydraulic Analysis</w:t>
      </w:r>
    </w:p>
    <w:p w:rsidR="006A766F" w:rsidRPr="00F338D1" w:rsidRDefault="006A766F" w:rsidP="006A766F">
      <w:pPr>
        <w:jc w:val="both"/>
        <w:rPr>
          <w:b/>
          <w:sz w:val="22"/>
          <w:szCs w:val="22"/>
          <w:u w:val="single"/>
        </w:rPr>
      </w:pPr>
    </w:p>
    <w:p w:rsidR="006A766F" w:rsidRDefault="006A766F" w:rsidP="006A766F">
      <w:pPr>
        <w:numPr>
          <w:ilvl w:val="0"/>
          <w:numId w:val="1"/>
        </w:numPr>
        <w:tabs>
          <w:tab w:val="clear" w:pos="720"/>
        </w:tabs>
        <w:ind w:left="0" w:firstLine="0"/>
        <w:rPr>
          <w:b/>
          <w:sz w:val="28"/>
          <w:szCs w:val="28"/>
        </w:rPr>
      </w:pPr>
      <w:r>
        <w:rPr>
          <w:b/>
          <w:sz w:val="28"/>
          <w:szCs w:val="28"/>
        </w:rPr>
        <w:t>Limited Detail Study</w:t>
      </w:r>
    </w:p>
    <w:p w:rsidR="006A766F" w:rsidRPr="00F338D1" w:rsidRDefault="006A766F" w:rsidP="006A766F">
      <w:pPr>
        <w:rPr>
          <w:sz w:val="22"/>
          <w:szCs w:val="22"/>
        </w:rPr>
      </w:pPr>
    </w:p>
    <w:p w:rsidR="006A766F" w:rsidRPr="00061368" w:rsidRDefault="006A766F" w:rsidP="006A766F">
      <w:pPr>
        <w:jc w:val="both"/>
      </w:pPr>
      <w:r w:rsidRPr="00061368">
        <w:t xml:space="preserve">The step-backwater computer program U.S. Army Corps of Engineers Hydraulic Engineering Center River Analysis System, version </w:t>
      </w:r>
      <w:r>
        <w:t>4.0</w:t>
      </w:r>
      <w:r w:rsidR="005C3E75">
        <w:t>.0</w:t>
      </w:r>
      <w:r>
        <w:t xml:space="preserve"> (HEC-RAS 4.0</w:t>
      </w:r>
      <w:r w:rsidR="005C3E75">
        <w:t>.0</w:t>
      </w:r>
      <w:r w:rsidRPr="00061368">
        <w:t>)</w:t>
      </w:r>
      <w:r w:rsidR="005C3E75">
        <w:rPr>
          <w:vertAlign w:val="superscript"/>
        </w:rPr>
        <w:t>3</w:t>
      </w:r>
      <w:r w:rsidRPr="00061368">
        <w:t xml:space="preserve"> was used as the hydraulic model for the limited detail studies.  Topographic data was derived from </w:t>
      </w:r>
      <w:proofErr w:type="spellStart"/>
      <w:r w:rsidRPr="00061368">
        <w:t>LiDAR</w:t>
      </w:r>
      <w:proofErr w:type="spellEnd"/>
      <w:r w:rsidRPr="00061368">
        <w:t xml:space="preserve"> mass points.  Relevant features of structures were field measured or verified.  </w:t>
      </w:r>
      <w:proofErr w:type="spellStart"/>
      <w:r w:rsidRPr="00061368">
        <w:t>Orthophotos</w:t>
      </w:r>
      <w:proofErr w:type="spellEnd"/>
      <w:r w:rsidRPr="00061368">
        <w:t xml:space="preserve"> were also used in creation of the HEC-RAS model.  1% annual chance of </w:t>
      </w:r>
      <w:proofErr w:type="spellStart"/>
      <w:r w:rsidRPr="00061368">
        <w:t>exceedance</w:t>
      </w:r>
      <w:proofErr w:type="spellEnd"/>
      <w:r w:rsidRPr="00061368">
        <w:t xml:space="preserve"> (100-year flood) elevations were modeled, as well as an approximate non-encroachment width.  The non-encroachment width was determined by running a Method 4 floodway encroachment model.  The 100-year flood elevation </w:t>
      </w:r>
      <w:r w:rsidRPr="00061368">
        <w:lastRenderedPageBreak/>
        <w:t xml:space="preserve">was used in conjunction with topographic data derived from </w:t>
      </w:r>
      <w:proofErr w:type="spellStart"/>
      <w:r w:rsidRPr="00061368">
        <w:t>LiDAR</w:t>
      </w:r>
      <w:proofErr w:type="spellEnd"/>
      <w:r w:rsidRPr="00061368">
        <w:t xml:space="preserve"> mass points to estimate the 100-year flood inundation.</w:t>
      </w:r>
    </w:p>
    <w:p w:rsidR="006A766F" w:rsidRPr="00061368" w:rsidRDefault="006A766F" w:rsidP="006A766F">
      <w:pPr>
        <w:jc w:val="both"/>
      </w:pPr>
    </w:p>
    <w:p w:rsidR="006A766F" w:rsidRPr="00061368" w:rsidRDefault="006A766F" w:rsidP="006A766F">
      <w:pPr>
        <w:jc w:val="both"/>
      </w:pPr>
      <w:r w:rsidRPr="00061368">
        <w:t xml:space="preserve">The HEC-RAS models assumed subcritical flow with a downstream boundary condition.  The boundary condition was typically established using the normal depth determined from the channel invert slope.  If the study tied into another study downstream, the calculated water surface elevation was used as the boundary condition. </w:t>
      </w:r>
      <w:proofErr w:type="spellStart"/>
      <w:r w:rsidRPr="00061368">
        <w:t>Orthophotos</w:t>
      </w:r>
      <w:proofErr w:type="spellEnd"/>
      <w:r w:rsidRPr="00061368">
        <w:t xml:space="preserve"> were used to determine Manning’s n-values for each modeled cross section.</w:t>
      </w:r>
    </w:p>
    <w:p w:rsidR="006A766F" w:rsidRPr="00061368" w:rsidRDefault="006A766F" w:rsidP="006A766F">
      <w:pPr>
        <w:jc w:val="both"/>
      </w:pPr>
    </w:p>
    <w:p w:rsidR="006A766F" w:rsidRPr="00061368" w:rsidRDefault="006A766F" w:rsidP="006A766F">
      <w:pPr>
        <w:numPr>
          <w:ilvl w:val="0"/>
          <w:numId w:val="1"/>
        </w:numPr>
        <w:tabs>
          <w:tab w:val="clear" w:pos="720"/>
        </w:tabs>
        <w:ind w:left="0" w:firstLine="0"/>
        <w:jc w:val="both"/>
      </w:pPr>
      <w:r w:rsidRPr="00061368">
        <w:rPr>
          <w:b/>
        </w:rPr>
        <w:t>Detail Study</w:t>
      </w:r>
    </w:p>
    <w:p w:rsidR="006A766F" w:rsidRPr="00061368" w:rsidRDefault="006A766F" w:rsidP="006A766F">
      <w:pPr>
        <w:jc w:val="both"/>
      </w:pPr>
    </w:p>
    <w:p w:rsidR="006A766F" w:rsidRPr="00061368" w:rsidRDefault="006A766F" w:rsidP="006A766F">
      <w:pPr>
        <w:jc w:val="both"/>
      </w:pPr>
      <w:r w:rsidRPr="00061368">
        <w:t xml:space="preserve">10%, 2%, 1%, and 0.2% annual chance of </w:t>
      </w:r>
      <w:proofErr w:type="spellStart"/>
      <w:r w:rsidRPr="00061368">
        <w:t>exceedance</w:t>
      </w:r>
      <w:proofErr w:type="spellEnd"/>
      <w:r w:rsidRPr="00061368">
        <w:t xml:space="preserve"> flood elevations were modeled </w:t>
      </w:r>
      <w:r>
        <w:t>using HEC-RAS 4.0</w:t>
      </w:r>
      <w:r w:rsidRPr="00061368">
        <w:t xml:space="preserve"> for detail study streams.  Floodways were modeled using the Method 1 floodway encroachment.  Structures were field surveyed, as well as sample cross sections.  Cross sections were derived from a combination of field cross section surveys and </w:t>
      </w:r>
      <w:proofErr w:type="spellStart"/>
      <w:r w:rsidRPr="00061368">
        <w:t>LiDAR</w:t>
      </w:r>
      <w:proofErr w:type="spellEnd"/>
      <w:r w:rsidRPr="00061368">
        <w:t xml:space="preserve"> elevation data.  The survey of the channel geometry was used for the modeled channel and was blended with </w:t>
      </w:r>
      <w:proofErr w:type="spellStart"/>
      <w:r w:rsidRPr="00061368">
        <w:t>LiDAR</w:t>
      </w:r>
      <w:proofErr w:type="spellEnd"/>
      <w:r w:rsidRPr="00061368">
        <w:t xml:space="preserve"> mass points to make up the overbank portion of the cross section.</w:t>
      </w:r>
    </w:p>
    <w:p w:rsidR="006A766F" w:rsidRPr="00061368" w:rsidRDefault="006A766F" w:rsidP="006A766F">
      <w:pPr>
        <w:jc w:val="both"/>
      </w:pPr>
    </w:p>
    <w:p w:rsidR="006A766F" w:rsidRDefault="006A766F" w:rsidP="00B708E0">
      <w:pPr>
        <w:jc w:val="both"/>
      </w:pPr>
      <w:r w:rsidRPr="00061368">
        <w:t xml:space="preserve">The boundary condition was typically established using the normal depth determined from the channel invert slope.  If the study tied into another study downstream, the calculated water surface elevation was used as the boundary condition. </w:t>
      </w:r>
      <w:proofErr w:type="spellStart"/>
      <w:r w:rsidRPr="00061368">
        <w:t>Orthophotos</w:t>
      </w:r>
      <w:proofErr w:type="spellEnd"/>
      <w:r w:rsidRPr="00061368">
        <w:t xml:space="preserve"> were used to determine Manning’s n-values for each modeled cross section.</w:t>
      </w:r>
    </w:p>
    <w:p w:rsidR="006A766F" w:rsidRDefault="006A766F"/>
    <w:p w:rsidR="00B708E0" w:rsidRDefault="00B708E0">
      <w:pPr>
        <w:spacing w:after="200" w:line="276" w:lineRule="auto"/>
        <w:rPr>
          <w:b/>
          <w:sz w:val="22"/>
          <w:szCs w:val="22"/>
          <w:u w:val="single"/>
        </w:rPr>
      </w:pPr>
      <w:r>
        <w:rPr>
          <w:b/>
          <w:sz w:val="22"/>
          <w:szCs w:val="22"/>
          <w:u w:val="single"/>
        </w:rPr>
        <w:br w:type="page"/>
      </w:r>
    </w:p>
    <w:p w:rsidR="006A766F" w:rsidRDefault="006A766F" w:rsidP="006A766F">
      <w:pPr>
        <w:jc w:val="both"/>
        <w:rPr>
          <w:b/>
          <w:sz w:val="22"/>
          <w:szCs w:val="22"/>
          <w:u w:val="single"/>
        </w:rPr>
      </w:pPr>
      <w:r>
        <w:rPr>
          <w:b/>
          <w:sz w:val="22"/>
          <w:szCs w:val="22"/>
          <w:u w:val="single"/>
        </w:rPr>
        <w:lastRenderedPageBreak/>
        <w:t>References</w:t>
      </w:r>
    </w:p>
    <w:p w:rsidR="006A766F" w:rsidRDefault="006A766F" w:rsidP="006A766F">
      <w:pPr>
        <w:jc w:val="both"/>
        <w:rPr>
          <w:sz w:val="22"/>
          <w:szCs w:val="22"/>
        </w:rPr>
      </w:pPr>
    </w:p>
    <w:p w:rsidR="006A766F" w:rsidRDefault="006A766F" w:rsidP="006A766F">
      <w:pPr>
        <w:ind w:left="720" w:hanging="720"/>
        <w:jc w:val="both"/>
        <w:rPr>
          <w:sz w:val="22"/>
          <w:szCs w:val="22"/>
        </w:rPr>
      </w:pPr>
      <w:r>
        <w:rPr>
          <w:sz w:val="22"/>
          <w:szCs w:val="22"/>
          <w:vertAlign w:val="superscript"/>
        </w:rPr>
        <w:t>1</w:t>
      </w:r>
      <w:r>
        <w:rPr>
          <w:sz w:val="22"/>
          <w:szCs w:val="22"/>
        </w:rPr>
        <w:t>U.S. Department of the Interior, Geological Survey,</w:t>
      </w:r>
      <w:r w:rsidRPr="00B27E74">
        <w:rPr>
          <w:sz w:val="22"/>
          <w:szCs w:val="22"/>
        </w:rPr>
        <w:t xml:space="preserve"> Water Resources Investigations Report 01-4207,</w:t>
      </w:r>
      <w:r>
        <w:rPr>
          <w:sz w:val="22"/>
          <w:szCs w:val="22"/>
        </w:rPr>
        <w:t xml:space="preserve"> </w:t>
      </w:r>
      <w:r>
        <w:rPr>
          <w:sz w:val="22"/>
          <w:szCs w:val="22"/>
          <w:u w:val="single"/>
        </w:rPr>
        <w:t>Estimating the Magnitude and Frequency of Floods in Rural Basins of North Carolina</w:t>
      </w:r>
      <w:r>
        <w:rPr>
          <w:sz w:val="22"/>
          <w:szCs w:val="22"/>
        </w:rPr>
        <w:t>, Raleigh, North Carolina, 2001</w:t>
      </w:r>
    </w:p>
    <w:p w:rsidR="006A766F" w:rsidRDefault="006A766F" w:rsidP="006A766F">
      <w:pPr>
        <w:ind w:left="720" w:hanging="720"/>
        <w:jc w:val="both"/>
        <w:rPr>
          <w:sz w:val="22"/>
          <w:szCs w:val="22"/>
        </w:rPr>
      </w:pPr>
    </w:p>
    <w:p w:rsidR="006A766F" w:rsidRPr="00A71E45" w:rsidRDefault="006A766F" w:rsidP="006A766F">
      <w:pPr>
        <w:ind w:left="720"/>
        <w:jc w:val="both"/>
        <w:rPr>
          <w:sz w:val="22"/>
          <w:szCs w:val="22"/>
          <w:u w:val="single"/>
        </w:rPr>
      </w:pPr>
      <w:r w:rsidRPr="00A71E45">
        <w:rPr>
          <w:sz w:val="22"/>
          <w:szCs w:val="22"/>
          <w:u w:val="single"/>
        </w:rPr>
        <w:t>Rural Regression Equation</w:t>
      </w:r>
    </w:p>
    <w:p w:rsidR="006A766F" w:rsidRDefault="006A766F" w:rsidP="006A766F">
      <w:pPr>
        <w:ind w:left="720"/>
        <w:jc w:val="both"/>
        <w:rPr>
          <w:sz w:val="22"/>
          <w:szCs w:val="22"/>
        </w:rPr>
      </w:pPr>
      <w:r>
        <w:rPr>
          <w:sz w:val="22"/>
          <w:szCs w:val="22"/>
        </w:rPr>
        <w:t>Q</w:t>
      </w:r>
      <w:r>
        <w:rPr>
          <w:sz w:val="22"/>
          <w:szCs w:val="22"/>
          <w:vertAlign w:val="superscript"/>
        </w:rPr>
        <w:t>10</w:t>
      </w:r>
      <w:r>
        <w:rPr>
          <w:sz w:val="22"/>
          <w:szCs w:val="22"/>
        </w:rPr>
        <w:t>=72.9(DA</w:t>
      </w:r>
      <w:r>
        <w:rPr>
          <w:sz w:val="22"/>
          <w:szCs w:val="22"/>
          <w:vertAlign w:val="superscript"/>
        </w:rPr>
        <w:t>0.697</w:t>
      </w:r>
      <w:r>
        <w:rPr>
          <w:sz w:val="22"/>
          <w:szCs w:val="22"/>
        </w:rPr>
        <w:t>)</w:t>
      </w:r>
    </w:p>
    <w:p w:rsidR="006A766F" w:rsidRDefault="006A766F" w:rsidP="006A766F">
      <w:pPr>
        <w:ind w:left="720"/>
        <w:jc w:val="both"/>
        <w:rPr>
          <w:sz w:val="22"/>
          <w:szCs w:val="22"/>
        </w:rPr>
      </w:pPr>
      <w:r>
        <w:rPr>
          <w:sz w:val="22"/>
          <w:szCs w:val="22"/>
        </w:rPr>
        <w:t>Q</w:t>
      </w:r>
      <w:r>
        <w:rPr>
          <w:sz w:val="22"/>
          <w:szCs w:val="22"/>
          <w:vertAlign w:val="superscript"/>
        </w:rPr>
        <w:t>25</w:t>
      </w:r>
      <w:r>
        <w:rPr>
          <w:sz w:val="22"/>
          <w:szCs w:val="22"/>
        </w:rPr>
        <w:t>=98.1(DA</w:t>
      </w:r>
      <w:r>
        <w:rPr>
          <w:sz w:val="22"/>
          <w:szCs w:val="22"/>
          <w:vertAlign w:val="superscript"/>
        </w:rPr>
        <w:t>0.693</w:t>
      </w:r>
      <w:r>
        <w:rPr>
          <w:sz w:val="22"/>
          <w:szCs w:val="22"/>
        </w:rPr>
        <w:t>)</w:t>
      </w:r>
    </w:p>
    <w:p w:rsidR="006A766F" w:rsidRDefault="006A766F" w:rsidP="006A766F">
      <w:pPr>
        <w:ind w:left="720"/>
        <w:jc w:val="both"/>
        <w:rPr>
          <w:sz w:val="22"/>
          <w:szCs w:val="22"/>
        </w:rPr>
      </w:pPr>
      <w:r>
        <w:rPr>
          <w:sz w:val="22"/>
          <w:szCs w:val="22"/>
        </w:rPr>
        <w:t>Q</w:t>
      </w:r>
      <w:r>
        <w:rPr>
          <w:sz w:val="22"/>
          <w:szCs w:val="22"/>
          <w:vertAlign w:val="superscript"/>
        </w:rPr>
        <w:t>50</w:t>
      </w:r>
      <w:r>
        <w:rPr>
          <w:sz w:val="22"/>
          <w:szCs w:val="22"/>
        </w:rPr>
        <w:t>=120(DA</w:t>
      </w:r>
      <w:r>
        <w:rPr>
          <w:sz w:val="22"/>
          <w:szCs w:val="22"/>
          <w:vertAlign w:val="superscript"/>
        </w:rPr>
        <w:t>0.691</w:t>
      </w:r>
      <w:r>
        <w:rPr>
          <w:sz w:val="22"/>
          <w:szCs w:val="22"/>
        </w:rPr>
        <w:t>)</w:t>
      </w:r>
    </w:p>
    <w:p w:rsidR="006A766F" w:rsidRDefault="006A766F" w:rsidP="006A766F">
      <w:pPr>
        <w:ind w:left="720"/>
        <w:jc w:val="both"/>
        <w:rPr>
          <w:sz w:val="22"/>
          <w:szCs w:val="22"/>
        </w:rPr>
      </w:pPr>
      <w:r>
        <w:rPr>
          <w:sz w:val="22"/>
          <w:szCs w:val="22"/>
        </w:rPr>
        <w:t>Q</w:t>
      </w:r>
      <w:r>
        <w:rPr>
          <w:sz w:val="22"/>
          <w:szCs w:val="22"/>
          <w:vertAlign w:val="superscript"/>
        </w:rPr>
        <w:t>100</w:t>
      </w:r>
      <w:r>
        <w:rPr>
          <w:sz w:val="22"/>
          <w:szCs w:val="22"/>
        </w:rPr>
        <w:t>=143(DA</w:t>
      </w:r>
      <w:r>
        <w:rPr>
          <w:sz w:val="22"/>
          <w:szCs w:val="22"/>
          <w:vertAlign w:val="superscript"/>
        </w:rPr>
        <w:t>0.688</w:t>
      </w:r>
      <w:r>
        <w:rPr>
          <w:sz w:val="22"/>
          <w:szCs w:val="22"/>
        </w:rPr>
        <w:t>)</w:t>
      </w:r>
    </w:p>
    <w:p w:rsidR="006A766F" w:rsidRDefault="006A766F" w:rsidP="006A766F">
      <w:pPr>
        <w:ind w:left="720"/>
        <w:jc w:val="both"/>
        <w:rPr>
          <w:sz w:val="22"/>
          <w:szCs w:val="22"/>
        </w:rPr>
      </w:pPr>
      <w:r>
        <w:rPr>
          <w:sz w:val="22"/>
          <w:szCs w:val="22"/>
        </w:rPr>
        <w:t>Q</w:t>
      </w:r>
      <w:r>
        <w:rPr>
          <w:sz w:val="22"/>
          <w:szCs w:val="22"/>
          <w:vertAlign w:val="superscript"/>
        </w:rPr>
        <w:t>500</w:t>
      </w:r>
      <w:r>
        <w:rPr>
          <w:sz w:val="22"/>
          <w:szCs w:val="22"/>
        </w:rPr>
        <w:t>=210(DA</w:t>
      </w:r>
      <w:r>
        <w:rPr>
          <w:sz w:val="22"/>
          <w:szCs w:val="22"/>
          <w:vertAlign w:val="superscript"/>
        </w:rPr>
        <w:t>0.684</w:t>
      </w:r>
      <w:r>
        <w:rPr>
          <w:sz w:val="22"/>
          <w:szCs w:val="22"/>
        </w:rPr>
        <w:t>)</w:t>
      </w:r>
    </w:p>
    <w:p w:rsidR="00B708E0" w:rsidRDefault="00B708E0" w:rsidP="006A766F">
      <w:pPr>
        <w:ind w:left="720"/>
        <w:jc w:val="both"/>
        <w:rPr>
          <w:sz w:val="22"/>
          <w:szCs w:val="22"/>
        </w:rPr>
      </w:pPr>
    </w:p>
    <w:p w:rsidR="006A766F" w:rsidRDefault="006A766F" w:rsidP="006A766F">
      <w:pPr>
        <w:ind w:left="720"/>
        <w:jc w:val="both"/>
        <w:rPr>
          <w:sz w:val="22"/>
          <w:szCs w:val="22"/>
        </w:rPr>
      </w:pPr>
      <w:r>
        <w:rPr>
          <w:sz w:val="22"/>
          <w:szCs w:val="22"/>
        </w:rPr>
        <w:t>where,</w:t>
      </w:r>
    </w:p>
    <w:p w:rsidR="006A766F" w:rsidRDefault="006A766F" w:rsidP="006A766F">
      <w:pPr>
        <w:ind w:left="720"/>
        <w:jc w:val="both"/>
        <w:rPr>
          <w:sz w:val="22"/>
          <w:szCs w:val="22"/>
        </w:rPr>
      </w:pPr>
      <w:proofErr w:type="spellStart"/>
      <w:r>
        <w:rPr>
          <w:sz w:val="22"/>
          <w:szCs w:val="22"/>
        </w:rPr>
        <w:t>Q</w:t>
      </w:r>
      <w:r>
        <w:rPr>
          <w:sz w:val="22"/>
          <w:szCs w:val="22"/>
          <w:vertAlign w:val="superscript"/>
        </w:rPr>
        <w:t>x</w:t>
      </w:r>
      <w:proofErr w:type="spellEnd"/>
      <w:r>
        <w:rPr>
          <w:sz w:val="22"/>
          <w:szCs w:val="22"/>
        </w:rPr>
        <w:t xml:space="preserve"> = Discharge with return period x</w:t>
      </w:r>
    </w:p>
    <w:p w:rsidR="006A766F" w:rsidRDefault="006A766F" w:rsidP="006A766F">
      <w:pPr>
        <w:ind w:left="720"/>
        <w:jc w:val="both"/>
        <w:rPr>
          <w:sz w:val="22"/>
          <w:szCs w:val="22"/>
        </w:rPr>
      </w:pPr>
      <w:r>
        <w:rPr>
          <w:sz w:val="22"/>
          <w:szCs w:val="22"/>
        </w:rPr>
        <w:t>DA = Drainage area</w:t>
      </w:r>
    </w:p>
    <w:p w:rsidR="006A766F" w:rsidRDefault="006A766F" w:rsidP="006A766F">
      <w:pPr>
        <w:jc w:val="both"/>
        <w:rPr>
          <w:sz w:val="22"/>
          <w:szCs w:val="22"/>
        </w:rPr>
      </w:pPr>
    </w:p>
    <w:p w:rsidR="006A766F" w:rsidRDefault="006A766F" w:rsidP="006A766F">
      <w:pPr>
        <w:jc w:val="both"/>
        <w:rPr>
          <w:sz w:val="22"/>
          <w:szCs w:val="22"/>
        </w:rPr>
      </w:pPr>
    </w:p>
    <w:p w:rsidR="006A766F" w:rsidRDefault="006A766F" w:rsidP="006A766F">
      <w:pPr>
        <w:ind w:left="720" w:hanging="720"/>
        <w:jc w:val="both"/>
        <w:rPr>
          <w:sz w:val="22"/>
          <w:szCs w:val="22"/>
        </w:rPr>
      </w:pPr>
      <w:r w:rsidRPr="00CC46CA">
        <w:rPr>
          <w:sz w:val="22"/>
          <w:szCs w:val="22"/>
          <w:vertAlign w:val="superscript"/>
        </w:rPr>
        <w:t>2</w:t>
      </w:r>
      <w:r>
        <w:rPr>
          <w:sz w:val="22"/>
          <w:szCs w:val="22"/>
        </w:rPr>
        <w:t xml:space="preserve">U.S. Department of the Interior, Geological Survey, Water Resources Investigations Report 96-4084, </w:t>
      </w:r>
      <w:r>
        <w:rPr>
          <w:sz w:val="22"/>
          <w:szCs w:val="22"/>
          <w:u w:val="single"/>
        </w:rPr>
        <w:t>Estimation of Flood-Frequency Characteristics of Small Urban Streams in North Carolina</w:t>
      </w:r>
      <w:r>
        <w:rPr>
          <w:sz w:val="22"/>
          <w:szCs w:val="22"/>
        </w:rPr>
        <w:t>, Raleigh, North Carolina, 1996</w:t>
      </w:r>
    </w:p>
    <w:p w:rsidR="006A766F" w:rsidRDefault="006A766F" w:rsidP="006A766F">
      <w:pPr>
        <w:ind w:left="720" w:hanging="720"/>
        <w:jc w:val="both"/>
        <w:rPr>
          <w:sz w:val="22"/>
          <w:szCs w:val="22"/>
        </w:rPr>
      </w:pPr>
    </w:p>
    <w:p w:rsidR="006A766F" w:rsidRDefault="006A766F" w:rsidP="006A766F">
      <w:pPr>
        <w:ind w:left="720"/>
        <w:jc w:val="both"/>
        <w:rPr>
          <w:sz w:val="22"/>
          <w:szCs w:val="22"/>
        </w:rPr>
      </w:pPr>
      <w:r>
        <w:rPr>
          <w:sz w:val="22"/>
          <w:szCs w:val="22"/>
          <w:u w:val="single"/>
        </w:rPr>
        <w:t>Urban Regression Equation</w:t>
      </w:r>
    </w:p>
    <w:p w:rsidR="006A766F" w:rsidRDefault="006A766F" w:rsidP="006A766F">
      <w:pPr>
        <w:ind w:left="720"/>
        <w:jc w:val="both"/>
        <w:rPr>
          <w:sz w:val="22"/>
          <w:szCs w:val="22"/>
        </w:rPr>
      </w:pPr>
      <w:r>
        <w:rPr>
          <w:sz w:val="22"/>
          <w:szCs w:val="22"/>
        </w:rPr>
        <w:t>Q</w:t>
      </w:r>
      <w:r>
        <w:rPr>
          <w:sz w:val="22"/>
          <w:szCs w:val="22"/>
          <w:vertAlign w:val="superscript"/>
        </w:rPr>
        <w:t>10</w:t>
      </w:r>
      <w:r>
        <w:rPr>
          <w:sz w:val="22"/>
          <w:szCs w:val="22"/>
        </w:rPr>
        <w:t>=75.6(DA</w:t>
      </w:r>
      <w:r>
        <w:rPr>
          <w:sz w:val="22"/>
          <w:szCs w:val="22"/>
          <w:vertAlign w:val="superscript"/>
        </w:rPr>
        <w:t>0.677</w:t>
      </w:r>
      <w:r>
        <w:rPr>
          <w:sz w:val="22"/>
          <w:szCs w:val="22"/>
        </w:rPr>
        <w:t>)*(IA</w:t>
      </w:r>
      <w:r>
        <w:rPr>
          <w:sz w:val="22"/>
          <w:szCs w:val="22"/>
          <w:vertAlign w:val="superscript"/>
        </w:rPr>
        <w:t>0.515</w:t>
      </w:r>
      <w:r>
        <w:rPr>
          <w:sz w:val="22"/>
          <w:szCs w:val="22"/>
        </w:rPr>
        <w:t>)</w:t>
      </w:r>
    </w:p>
    <w:p w:rsidR="006A766F" w:rsidRDefault="006A766F" w:rsidP="006A766F">
      <w:pPr>
        <w:ind w:left="720"/>
        <w:jc w:val="both"/>
        <w:rPr>
          <w:sz w:val="22"/>
          <w:szCs w:val="22"/>
        </w:rPr>
      </w:pPr>
      <w:r>
        <w:rPr>
          <w:sz w:val="22"/>
          <w:szCs w:val="22"/>
        </w:rPr>
        <w:t>Q</w:t>
      </w:r>
      <w:r>
        <w:rPr>
          <w:sz w:val="22"/>
          <w:szCs w:val="22"/>
          <w:vertAlign w:val="superscript"/>
        </w:rPr>
        <w:t>25</w:t>
      </w:r>
      <w:r>
        <w:rPr>
          <w:sz w:val="22"/>
          <w:szCs w:val="22"/>
        </w:rPr>
        <w:t>=128(DA</w:t>
      </w:r>
      <w:r>
        <w:rPr>
          <w:sz w:val="22"/>
          <w:szCs w:val="22"/>
          <w:vertAlign w:val="superscript"/>
        </w:rPr>
        <w:t>0.644</w:t>
      </w:r>
      <w:r>
        <w:rPr>
          <w:sz w:val="22"/>
          <w:szCs w:val="22"/>
        </w:rPr>
        <w:t>)*(IA</w:t>
      </w:r>
      <w:r>
        <w:rPr>
          <w:sz w:val="22"/>
          <w:szCs w:val="22"/>
          <w:vertAlign w:val="superscript"/>
        </w:rPr>
        <w:t>0.436</w:t>
      </w:r>
      <w:r>
        <w:rPr>
          <w:sz w:val="22"/>
          <w:szCs w:val="22"/>
        </w:rPr>
        <w:t>)</w:t>
      </w:r>
    </w:p>
    <w:p w:rsidR="006A766F" w:rsidRDefault="006A766F" w:rsidP="006A766F">
      <w:pPr>
        <w:ind w:left="720"/>
        <w:jc w:val="both"/>
        <w:rPr>
          <w:sz w:val="22"/>
          <w:szCs w:val="22"/>
          <w:vertAlign w:val="superscript"/>
        </w:rPr>
      </w:pPr>
      <w:r>
        <w:rPr>
          <w:sz w:val="22"/>
          <w:szCs w:val="22"/>
        </w:rPr>
        <w:t>Q</w:t>
      </w:r>
      <w:r>
        <w:rPr>
          <w:sz w:val="22"/>
          <w:szCs w:val="22"/>
          <w:vertAlign w:val="superscript"/>
        </w:rPr>
        <w:t>50</w:t>
      </w:r>
      <w:r>
        <w:rPr>
          <w:sz w:val="22"/>
          <w:szCs w:val="22"/>
        </w:rPr>
        <w:t>=170(DA</w:t>
      </w:r>
      <w:r>
        <w:rPr>
          <w:sz w:val="22"/>
          <w:szCs w:val="22"/>
          <w:vertAlign w:val="superscript"/>
        </w:rPr>
        <w:t>0.637</w:t>
      </w:r>
      <w:r>
        <w:rPr>
          <w:sz w:val="22"/>
          <w:szCs w:val="22"/>
        </w:rPr>
        <w:t>)*(IA</w:t>
      </w:r>
      <w:r>
        <w:rPr>
          <w:sz w:val="22"/>
          <w:szCs w:val="22"/>
          <w:vertAlign w:val="superscript"/>
        </w:rPr>
        <w:t>0.396</w:t>
      </w:r>
      <w:r>
        <w:rPr>
          <w:sz w:val="22"/>
          <w:szCs w:val="22"/>
        </w:rPr>
        <w:t>)</w:t>
      </w:r>
    </w:p>
    <w:p w:rsidR="006A766F" w:rsidRDefault="006A766F" w:rsidP="006A766F">
      <w:pPr>
        <w:ind w:left="720"/>
        <w:jc w:val="both"/>
        <w:rPr>
          <w:sz w:val="22"/>
          <w:szCs w:val="22"/>
        </w:rPr>
      </w:pPr>
      <w:r>
        <w:rPr>
          <w:sz w:val="22"/>
          <w:szCs w:val="22"/>
        </w:rPr>
        <w:t>Q</w:t>
      </w:r>
      <w:r>
        <w:rPr>
          <w:sz w:val="22"/>
          <w:szCs w:val="22"/>
          <w:vertAlign w:val="superscript"/>
        </w:rPr>
        <w:t>100</w:t>
      </w:r>
      <w:r>
        <w:rPr>
          <w:sz w:val="22"/>
          <w:szCs w:val="22"/>
        </w:rPr>
        <w:t>=217(DA</w:t>
      </w:r>
      <w:r>
        <w:rPr>
          <w:sz w:val="22"/>
          <w:szCs w:val="22"/>
          <w:vertAlign w:val="superscript"/>
        </w:rPr>
        <w:t>0.63</w:t>
      </w:r>
      <w:r>
        <w:rPr>
          <w:sz w:val="22"/>
          <w:szCs w:val="22"/>
        </w:rPr>
        <w:t>)*(IA</w:t>
      </w:r>
      <w:r>
        <w:rPr>
          <w:sz w:val="22"/>
          <w:szCs w:val="22"/>
          <w:vertAlign w:val="superscript"/>
        </w:rPr>
        <w:t>0.358</w:t>
      </w:r>
      <w:r>
        <w:rPr>
          <w:sz w:val="22"/>
          <w:szCs w:val="22"/>
        </w:rPr>
        <w:t>)</w:t>
      </w:r>
    </w:p>
    <w:p w:rsidR="006A766F" w:rsidRDefault="006A766F" w:rsidP="006A766F">
      <w:pPr>
        <w:jc w:val="both"/>
        <w:rPr>
          <w:sz w:val="22"/>
          <w:szCs w:val="22"/>
          <w:vertAlign w:val="superscript"/>
        </w:rPr>
      </w:pPr>
    </w:p>
    <w:p w:rsidR="006A766F" w:rsidRDefault="006A766F" w:rsidP="006A766F">
      <w:pPr>
        <w:ind w:left="720"/>
        <w:jc w:val="both"/>
        <w:rPr>
          <w:sz w:val="22"/>
          <w:szCs w:val="22"/>
        </w:rPr>
      </w:pPr>
      <w:r>
        <w:rPr>
          <w:sz w:val="22"/>
          <w:szCs w:val="22"/>
        </w:rPr>
        <w:t>where,</w:t>
      </w:r>
    </w:p>
    <w:p w:rsidR="006A766F" w:rsidRDefault="006A766F" w:rsidP="006A766F">
      <w:pPr>
        <w:ind w:left="720"/>
        <w:jc w:val="both"/>
        <w:rPr>
          <w:sz w:val="22"/>
          <w:szCs w:val="22"/>
        </w:rPr>
      </w:pPr>
      <w:proofErr w:type="spellStart"/>
      <w:r>
        <w:rPr>
          <w:sz w:val="22"/>
          <w:szCs w:val="22"/>
        </w:rPr>
        <w:t>Q</w:t>
      </w:r>
      <w:r>
        <w:rPr>
          <w:sz w:val="22"/>
          <w:szCs w:val="22"/>
          <w:vertAlign w:val="superscript"/>
        </w:rPr>
        <w:t>x</w:t>
      </w:r>
      <w:proofErr w:type="spellEnd"/>
      <w:r>
        <w:rPr>
          <w:sz w:val="22"/>
          <w:szCs w:val="22"/>
        </w:rPr>
        <w:t xml:space="preserve"> = Discharge with return period x</w:t>
      </w:r>
    </w:p>
    <w:p w:rsidR="006A766F" w:rsidRDefault="006A766F" w:rsidP="006A766F">
      <w:pPr>
        <w:ind w:left="720"/>
        <w:jc w:val="both"/>
        <w:rPr>
          <w:sz w:val="22"/>
          <w:szCs w:val="22"/>
        </w:rPr>
      </w:pPr>
      <w:r>
        <w:rPr>
          <w:sz w:val="22"/>
          <w:szCs w:val="22"/>
        </w:rPr>
        <w:t>DA = Drainage area</w:t>
      </w:r>
    </w:p>
    <w:p w:rsidR="006A766F" w:rsidRDefault="006A766F" w:rsidP="006A766F">
      <w:pPr>
        <w:ind w:left="720"/>
        <w:jc w:val="both"/>
        <w:rPr>
          <w:sz w:val="22"/>
          <w:szCs w:val="22"/>
        </w:rPr>
      </w:pPr>
      <w:r>
        <w:rPr>
          <w:sz w:val="22"/>
          <w:szCs w:val="22"/>
        </w:rPr>
        <w:t>IA = Impervious area</w:t>
      </w:r>
    </w:p>
    <w:p w:rsidR="006A766F" w:rsidRDefault="006A766F" w:rsidP="006A766F">
      <w:pPr>
        <w:ind w:left="720" w:hanging="720"/>
        <w:jc w:val="both"/>
        <w:rPr>
          <w:sz w:val="22"/>
          <w:szCs w:val="22"/>
        </w:rPr>
      </w:pPr>
    </w:p>
    <w:p w:rsidR="006A766F" w:rsidRPr="00956F64" w:rsidRDefault="006A766F" w:rsidP="006A766F">
      <w:pPr>
        <w:ind w:left="720" w:hanging="720"/>
        <w:jc w:val="both"/>
        <w:rPr>
          <w:sz w:val="22"/>
          <w:szCs w:val="22"/>
        </w:rPr>
      </w:pPr>
      <w:r>
        <w:rPr>
          <w:sz w:val="22"/>
          <w:szCs w:val="22"/>
          <w:vertAlign w:val="superscript"/>
        </w:rPr>
        <w:t>3</w:t>
      </w:r>
      <w:r>
        <w:rPr>
          <w:sz w:val="22"/>
          <w:szCs w:val="22"/>
        </w:rPr>
        <w:t xml:space="preserve">U.S. Army Corps of Engineers, Hydrologic Engineering Center, </w:t>
      </w:r>
      <w:r w:rsidRPr="003D432F">
        <w:rPr>
          <w:sz w:val="22"/>
          <w:szCs w:val="22"/>
          <w:u w:val="single"/>
        </w:rPr>
        <w:t>HEC-</w:t>
      </w:r>
      <w:r w:rsidR="003111F5">
        <w:rPr>
          <w:sz w:val="22"/>
          <w:szCs w:val="22"/>
          <w:u w:val="single"/>
        </w:rPr>
        <w:t>RAS</w:t>
      </w:r>
      <w:r w:rsidRPr="003D432F">
        <w:rPr>
          <w:sz w:val="22"/>
          <w:szCs w:val="22"/>
          <w:u w:val="single"/>
        </w:rPr>
        <w:t xml:space="preserve"> Version </w:t>
      </w:r>
      <w:r>
        <w:rPr>
          <w:sz w:val="22"/>
          <w:szCs w:val="22"/>
          <w:u w:val="single"/>
        </w:rPr>
        <w:t>4.0</w:t>
      </w:r>
      <w:r w:rsidR="005C3E75">
        <w:rPr>
          <w:sz w:val="22"/>
          <w:szCs w:val="22"/>
          <w:u w:val="single"/>
        </w:rPr>
        <w:t>.0</w:t>
      </w:r>
      <w:r>
        <w:rPr>
          <w:sz w:val="22"/>
          <w:szCs w:val="22"/>
        </w:rPr>
        <w:t xml:space="preserve">, </w:t>
      </w:r>
      <w:r w:rsidR="00F13433">
        <w:rPr>
          <w:sz w:val="22"/>
          <w:szCs w:val="22"/>
        </w:rPr>
        <w:t>March, 2008</w:t>
      </w:r>
    </w:p>
    <w:p w:rsidR="006A766F" w:rsidRDefault="006A766F" w:rsidP="006A766F">
      <w:pPr>
        <w:autoSpaceDE w:val="0"/>
        <w:autoSpaceDN w:val="0"/>
        <w:adjustRightInd w:val="0"/>
        <w:rPr>
          <w:sz w:val="22"/>
          <w:szCs w:val="22"/>
        </w:rPr>
      </w:pPr>
    </w:p>
    <w:sectPr w:rsidR="006A766F" w:rsidSect="0059673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E3134B"/>
    <w:multiLevelType w:val="hybridMultilevel"/>
    <w:tmpl w:val="8BD29392"/>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36042C"/>
    <w:rsid w:val="00032C19"/>
    <w:rsid w:val="000A6DAF"/>
    <w:rsid w:val="0015043A"/>
    <w:rsid w:val="00152189"/>
    <w:rsid w:val="001D0E47"/>
    <w:rsid w:val="001F0AF5"/>
    <w:rsid w:val="0026468C"/>
    <w:rsid w:val="003111F5"/>
    <w:rsid w:val="00323805"/>
    <w:rsid w:val="0036042C"/>
    <w:rsid w:val="003D372F"/>
    <w:rsid w:val="003E426E"/>
    <w:rsid w:val="003E5F7C"/>
    <w:rsid w:val="0059673A"/>
    <w:rsid w:val="005C3E75"/>
    <w:rsid w:val="006857BE"/>
    <w:rsid w:val="006A766F"/>
    <w:rsid w:val="00A33E2A"/>
    <w:rsid w:val="00B708E0"/>
    <w:rsid w:val="00C73E23"/>
    <w:rsid w:val="00C83A15"/>
    <w:rsid w:val="00CD1639"/>
    <w:rsid w:val="00D6677B"/>
    <w:rsid w:val="00DC3ADB"/>
    <w:rsid w:val="00F1343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042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Pages>
  <Words>798</Words>
  <Characters>4551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G&amp;O</Company>
  <LinksUpToDate>false</LinksUpToDate>
  <CharactersWithSpaces>5339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dhopkins</dc:creator>
  <cp:keywords/>
  <dc:description/>
  <cp:lastModifiedBy>ISD</cp:lastModifiedBy>
  <cp:revision>8</cp:revision>
  <dcterms:created xsi:type="dcterms:W3CDTF">2010-09-02T04:42:00Z</dcterms:created>
  <dcterms:modified xsi:type="dcterms:W3CDTF">2011-05-24T02:01:00Z</dcterms:modified>
</cp:coreProperties>
</file>